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4F" w:rsidRPr="00B30B1F" w:rsidRDefault="00901B4F" w:rsidP="006D6ED7">
      <w:pPr>
        <w:pStyle w:val="NoSpacing"/>
        <w:jc w:val="center"/>
        <w:rPr>
          <w:rStyle w:val="Heading1Char"/>
          <w:rFonts w:ascii="Calibri" w:hAnsi="Calibri"/>
          <w:bCs w:val="0"/>
          <w:color w:val="1F497D"/>
          <w:sz w:val="22"/>
          <w:szCs w:val="22"/>
          <w:u w:val="single"/>
        </w:rPr>
      </w:pPr>
      <w:bookmarkStart w:id="0" w:name="p1"/>
      <w:r w:rsidRPr="00B30B1F">
        <w:rPr>
          <w:rStyle w:val="Heading1Char"/>
          <w:rFonts w:ascii="Calibri" w:hAnsi="Calibri"/>
          <w:bCs w:val="0"/>
          <w:color w:val="1F497D"/>
          <w:sz w:val="22"/>
          <w:szCs w:val="22"/>
          <w:u w:val="single"/>
        </w:rPr>
        <w:t>Technical information sheet for the proposed SDG indicator</w:t>
      </w:r>
    </w:p>
    <w:p w:rsidR="0022460C" w:rsidRPr="00B30B1F" w:rsidRDefault="0022460C" w:rsidP="006D6ED7">
      <w:pPr>
        <w:pStyle w:val="NoSpacing"/>
        <w:jc w:val="center"/>
        <w:rPr>
          <w:rStyle w:val="Heading1Char"/>
          <w:rFonts w:ascii="Calibri" w:hAnsi="Calibri"/>
          <w:bCs w:val="0"/>
          <w:color w:val="1F497D"/>
          <w:sz w:val="22"/>
          <w:szCs w:val="22"/>
        </w:rPr>
      </w:pPr>
    </w:p>
    <w:p w:rsidR="00901B4F" w:rsidRPr="00B30B1F" w:rsidRDefault="00901B4F" w:rsidP="006D6ED7">
      <w:pPr>
        <w:pStyle w:val="NoSpacing"/>
        <w:jc w:val="center"/>
        <w:rPr>
          <w:rStyle w:val="Heading1Char"/>
          <w:rFonts w:ascii="Calibri" w:hAnsi="Calibri"/>
          <w:bCs w:val="0"/>
          <w:i/>
          <w:iCs/>
          <w:color w:val="1F497D"/>
          <w:sz w:val="22"/>
          <w:szCs w:val="22"/>
          <w:lang w:val="en-US" w:eastAsia="zh-CN"/>
        </w:rPr>
      </w:pPr>
      <w:r w:rsidRPr="00B30B1F">
        <w:rPr>
          <w:rStyle w:val="Heading1Char"/>
          <w:rFonts w:ascii="Calibri" w:hAnsi="Calibri"/>
          <w:bCs w:val="0"/>
          <w:color w:val="1F497D"/>
          <w:sz w:val="22"/>
          <w:szCs w:val="22"/>
        </w:rPr>
        <w:t>“</w:t>
      </w:r>
      <w:r w:rsidR="00A36EB9" w:rsidRPr="00A36EB9">
        <w:rPr>
          <w:i/>
          <w:iCs/>
          <w:color w:val="1F497D"/>
          <w:lang w:val="en-US"/>
        </w:rPr>
        <w:t>Proportion of sustainable development indicators with full disaggregat</w:t>
      </w:r>
      <w:r w:rsidR="00A36EB9">
        <w:rPr>
          <w:i/>
          <w:iCs/>
          <w:color w:val="1F497D"/>
          <w:lang w:val="en-US"/>
        </w:rPr>
        <w:t>ion produced at national level.”</w:t>
      </w:r>
    </w:p>
    <w:p w:rsidR="004C7F48" w:rsidRPr="00B30B1F" w:rsidRDefault="004C7F48" w:rsidP="006D6ED7">
      <w:pPr>
        <w:pStyle w:val="NoSpacing"/>
        <w:jc w:val="both"/>
        <w:rPr>
          <w:rFonts w:eastAsia="Times New Roman"/>
          <w:b/>
          <w:bCs/>
          <w:lang w:eastAsia="en-GB"/>
        </w:rPr>
      </w:pPr>
    </w:p>
    <w:p w:rsidR="0022460C" w:rsidRPr="00B30B1F" w:rsidRDefault="0022460C" w:rsidP="006D6ED7">
      <w:pPr>
        <w:pStyle w:val="NoSpacing"/>
        <w:jc w:val="both"/>
        <w:rPr>
          <w:rFonts w:eastAsia="Times New Roman"/>
          <w:b/>
          <w:bCs/>
          <w:lang w:eastAsia="en-GB"/>
        </w:rPr>
      </w:pPr>
    </w:p>
    <w:p w:rsidR="00AD7E55" w:rsidRPr="00B30B1F" w:rsidRDefault="00475C52" w:rsidP="006D6ED7">
      <w:pPr>
        <w:pStyle w:val="NoSpacing"/>
        <w:jc w:val="both"/>
        <w:rPr>
          <w:rStyle w:val="Heading1Char"/>
          <w:rFonts w:ascii="Calibri" w:hAnsi="Calibri"/>
          <w:sz w:val="22"/>
          <w:szCs w:val="22"/>
          <w:u w:val="single"/>
        </w:rPr>
      </w:pPr>
      <w:r w:rsidRPr="00B30B1F">
        <w:rPr>
          <w:rStyle w:val="Heading1Char"/>
          <w:rFonts w:ascii="Calibri" w:hAnsi="Calibri"/>
          <w:sz w:val="22"/>
          <w:szCs w:val="22"/>
          <w:u w:val="single"/>
        </w:rPr>
        <w:t xml:space="preserve">Goal and Target </w:t>
      </w:r>
      <w:r w:rsidR="00AD7E55" w:rsidRPr="00B30B1F">
        <w:rPr>
          <w:rStyle w:val="Heading1Char"/>
          <w:rFonts w:ascii="Calibri" w:hAnsi="Calibri"/>
          <w:sz w:val="22"/>
          <w:szCs w:val="22"/>
          <w:u w:val="single"/>
        </w:rPr>
        <w:t>A</w:t>
      </w:r>
      <w:r w:rsidRPr="00B30B1F">
        <w:rPr>
          <w:rStyle w:val="Heading1Char"/>
          <w:rFonts w:ascii="Calibri" w:hAnsi="Calibri"/>
          <w:sz w:val="22"/>
          <w:szCs w:val="22"/>
          <w:u w:val="single"/>
        </w:rPr>
        <w:t xml:space="preserve">ddressed </w:t>
      </w:r>
      <w:bookmarkEnd w:id="0"/>
    </w:p>
    <w:p w:rsidR="008A7215" w:rsidRPr="00B30B1F" w:rsidRDefault="008A7215" w:rsidP="006D6ED7">
      <w:pPr>
        <w:pStyle w:val="NoSpacing"/>
        <w:jc w:val="both"/>
        <w:rPr>
          <w:rFonts w:eastAsia="Times New Roman"/>
          <w:bCs/>
          <w:lang w:val="en-US" w:eastAsia="en-GB"/>
        </w:rPr>
      </w:pPr>
    </w:p>
    <w:p w:rsidR="00972EB9" w:rsidRPr="00B30B1F" w:rsidRDefault="00483D59" w:rsidP="006D6ED7">
      <w:pPr>
        <w:pStyle w:val="NoSpacing"/>
        <w:jc w:val="both"/>
        <w:rPr>
          <w:rFonts w:eastAsia="Times New Roman"/>
          <w:lang w:eastAsia="en-GB"/>
        </w:rPr>
      </w:pPr>
      <w:r w:rsidRPr="00B30B1F">
        <w:rPr>
          <w:rFonts w:eastAsia="Times New Roman"/>
          <w:bCs/>
          <w:lang w:val="en-US" w:eastAsia="en-GB"/>
        </w:rPr>
        <w:t>Goal 17: Strengthen the means of implementation and revitalize the global partnership for sustainable development</w:t>
      </w:r>
    </w:p>
    <w:p w:rsidR="008A7215" w:rsidRPr="00B30B1F" w:rsidRDefault="008A7215" w:rsidP="006D6ED7">
      <w:pPr>
        <w:pStyle w:val="NoSpacing"/>
        <w:jc w:val="both"/>
      </w:pPr>
    </w:p>
    <w:p w:rsidR="00483D59" w:rsidRPr="00B30B1F" w:rsidRDefault="00483D59" w:rsidP="006D6ED7">
      <w:pPr>
        <w:pStyle w:val="NoSpacing"/>
        <w:jc w:val="both"/>
        <w:rPr>
          <w:i/>
          <w:iCs/>
        </w:rPr>
      </w:pPr>
      <w:r w:rsidRPr="00B30B1F">
        <w:t>Target 17.</w:t>
      </w:r>
      <w:r w:rsidR="00A36EB9">
        <w:t xml:space="preserve">18: </w:t>
      </w:r>
      <w:r w:rsidR="00A36EB9" w:rsidRPr="00A36EB9">
        <w:t>By 2020, enhance capacity-building support to developing countries, including for least developed countries and small island developing States, to increase significantly the availability of high-quality, timely and reliable data disaggregated by income, gender, age, race, ethnicity, migratory status, disability, geographic location and other characteristics relevant in national contexts</w:t>
      </w:r>
    </w:p>
    <w:p w:rsidR="008A7215" w:rsidRPr="00B30B1F" w:rsidRDefault="008A7215" w:rsidP="006D6ED7">
      <w:pPr>
        <w:pStyle w:val="NoSpacing"/>
        <w:jc w:val="both"/>
        <w:rPr>
          <w:rStyle w:val="Heading1Char"/>
          <w:rFonts w:ascii="Calibri" w:hAnsi="Calibri"/>
          <w:sz w:val="22"/>
          <w:szCs w:val="22"/>
        </w:rPr>
      </w:pPr>
      <w:bookmarkStart w:id="1" w:name="p2"/>
    </w:p>
    <w:p w:rsidR="00AD7E55" w:rsidRPr="00B30B1F" w:rsidRDefault="000E51DE" w:rsidP="006D6ED7">
      <w:pPr>
        <w:pStyle w:val="NoSpacing"/>
        <w:jc w:val="both"/>
        <w:rPr>
          <w:rStyle w:val="Heading1Char"/>
          <w:rFonts w:ascii="Calibri" w:hAnsi="Calibri"/>
          <w:sz w:val="22"/>
          <w:szCs w:val="22"/>
          <w:u w:val="single"/>
          <w:lang w:eastAsia="en-GB"/>
        </w:rPr>
      </w:pPr>
      <w:r w:rsidRPr="00B30B1F">
        <w:rPr>
          <w:rStyle w:val="Heading1Char"/>
          <w:rFonts w:ascii="Calibri" w:hAnsi="Calibri"/>
          <w:sz w:val="22"/>
          <w:szCs w:val="22"/>
          <w:u w:val="single"/>
        </w:rPr>
        <w:t xml:space="preserve">Definition and Method of Computation </w:t>
      </w:r>
      <w:bookmarkEnd w:id="1"/>
    </w:p>
    <w:p w:rsidR="008A7215" w:rsidRPr="00B30B1F" w:rsidRDefault="008A7215" w:rsidP="006D6ED7">
      <w:pPr>
        <w:pStyle w:val="NoSpacing"/>
        <w:jc w:val="both"/>
      </w:pPr>
    </w:p>
    <w:p w:rsidR="00A36EB9" w:rsidRDefault="00A36EB9" w:rsidP="00A36EB9">
      <w:pPr>
        <w:pStyle w:val="NoSpacing"/>
        <w:jc w:val="both"/>
      </w:pPr>
      <w:r w:rsidRPr="00A36EB9">
        <w:t xml:space="preserve">The ability of National Statistical Offices and other bodies within countries to report on the diversity of SDG indicators is itself a measure of capacity, particularly when we think about the eventual complexity of the indicator framework as well as the points of disaggregation. Right now, a number of the existing indicators are calculated or </w:t>
      </w:r>
      <w:proofErr w:type="spellStart"/>
      <w:r w:rsidRPr="00A36EB9">
        <w:t>modeled</w:t>
      </w:r>
      <w:proofErr w:type="spellEnd"/>
      <w:r w:rsidRPr="00A36EB9">
        <w:t xml:space="preserve"> at global level, and the purpose of this indicator is to measure the shift in that calculation process to the national level.</w:t>
      </w:r>
    </w:p>
    <w:p w:rsidR="00A36EB9" w:rsidRDefault="00A36EB9" w:rsidP="00A36EB9">
      <w:pPr>
        <w:pStyle w:val="NoSpacing"/>
        <w:jc w:val="both"/>
      </w:pPr>
    </w:p>
    <w:p w:rsidR="00A36EB9" w:rsidRPr="00A36EB9" w:rsidRDefault="00A36EB9" w:rsidP="00A36EB9">
      <w:pPr>
        <w:pStyle w:val="NoSpacing"/>
        <w:jc w:val="both"/>
      </w:pPr>
      <w:r>
        <w:t>Disaggregation would be assessed on the basis of the language of target 17.18, as well as the metadata and agreements on disaggregation for each indicator itself. T</w:t>
      </w:r>
      <w:r w:rsidRPr="00A36EB9">
        <w:t xml:space="preserve">he baseline and targets for </w:t>
      </w:r>
      <w:proofErr w:type="gramStart"/>
      <w:r w:rsidRPr="00A36EB9">
        <w:t>this indicators</w:t>
      </w:r>
      <w:proofErr w:type="gramEnd"/>
      <w:r w:rsidRPr="00A36EB9">
        <w:t xml:space="preserve"> will be determined in a later stage using trend data on the MDGs reporting and independent assessments of current capacity of countries for reporting towards the final results framework and indicators for the SD</w:t>
      </w:r>
      <w:r>
        <w:t>Gs.</w:t>
      </w:r>
    </w:p>
    <w:p w:rsidR="00A36EB9" w:rsidRPr="00A36EB9" w:rsidRDefault="00A36EB9" w:rsidP="00A36EB9">
      <w:pPr>
        <w:pStyle w:val="NoSpacing"/>
        <w:jc w:val="both"/>
      </w:pPr>
    </w:p>
    <w:p w:rsidR="00AD7E55" w:rsidRPr="00B30B1F" w:rsidRDefault="00E56879" w:rsidP="006D6ED7">
      <w:pPr>
        <w:pStyle w:val="NoSpacing"/>
        <w:jc w:val="both"/>
        <w:rPr>
          <w:rStyle w:val="Heading1Char"/>
          <w:rFonts w:ascii="Calibri" w:hAnsi="Calibri"/>
          <w:sz w:val="22"/>
          <w:szCs w:val="22"/>
          <w:u w:val="single"/>
        </w:rPr>
      </w:pPr>
      <w:r w:rsidRPr="00B30B1F">
        <w:rPr>
          <w:rStyle w:val="Heading1Char"/>
          <w:rFonts w:ascii="Calibri" w:hAnsi="Calibri"/>
          <w:bCs w:val="0"/>
          <w:sz w:val="22"/>
          <w:szCs w:val="22"/>
          <w:u w:val="single"/>
        </w:rPr>
        <w:t>Sources and Data Collection</w:t>
      </w:r>
    </w:p>
    <w:p w:rsidR="008A7215" w:rsidRPr="00B30B1F" w:rsidRDefault="008A7215" w:rsidP="006D6ED7">
      <w:pPr>
        <w:pStyle w:val="NoSpacing"/>
        <w:jc w:val="both"/>
      </w:pPr>
    </w:p>
    <w:p w:rsidR="00500BB7" w:rsidRDefault="00A36EB9" w:rsidP="006D6ED7">
      <w:pPr>
        <w:pStyle w:val="NoSpacing"/>
        <w:jc w:val="both"/>
      </w:pPr>
      <w:proofErr w:type="gramStart"/>
      <w:r w:rsidRPr="00A36EB9">
        <w:t>MDG reporting databases (UNDESA and UNDP) plus baseline assessment in 2015 by UNFPA.</w:t>
      </w:r>
      <w:proofErr w:type="gramEnd"/>
    </w:p>
    <w:p w:rsidR="00A36EB9" w:rsidRPr="00B30B1F" w:rsidRDefault="00A36EB9" w:rsidP="006D6ED7">
      <w:pPr>
        <w:pStyle w:val="NoSpacing"/>
        <w:jc w:val="both"/>
        <w:rPr>
          <w:rFonts w:eastAsia="Times New Roman"/>
          <w:lang w:eastAsia="en-GB"/>
        </w:rPr>
      </w:pPr>
    </w:p>
    <w:p w:rsidR="00AD7E55" w:rsidRPr="00B30B1F" w:rsidRDefault="00E56879" w:rsidP="006D6ED7">
      <w:pPr>
        <w:pStyle w:val="NoSpacing"/>
        <w:jc w:val="both"/>
        <w:rPr>
          <w:rStyle w:val="Heading1Char"/>
          <w:rFonts w:ascii="Calibri" w:hAnsi="Calibri"/>
          <w:sz w:val="22"/>
          <w:szCs w:val="22"/>
          <w:u w:val="single"/>
        </w:rPr>
      </w:pPr>
      <w:bookmarkStart w:id="2" w:name="p5"/>
      <w:r w:rsidRPr="00B30B1F">
        <w:rPr>
          <w:rStyle w:val="Heading1Char"/>
          <w:rFonts w:ascii="Calibri" w:hAnsi="Calibri"/>
          <w:sz w:val="22"/>
          <w:szCs w:val="22"/>
          <w:u w:val="single"/>
        </w:rPr>
        <w:t xml:space="preserve">Disaggregation </w:t>
      </w:r>
      <w:bookmarkEnd w:id="2"/>
    </w:p>
    <w:p w:rsidR="008A7215" w:rsidRPr="00B30B1F" w:rsidRDefault="008A7215" w:rsidP="006D6ED7">
      <w:pPr>
        <w:pStyle w:val="NoSpacing"/>
        <w:jc w:val="both"/>
      </w:pPr>
      <w:bookmarkStart w:id="3" w:name="p6"/>
    </w:p>
    <w:p w:rsidR="000F59A8" w:rsidRPr="00B30B1F" w:rsidRDefault="00A36EB9" w:rsidP="006D6ED7">
      <w:pPr>
        <w:pStyle w:val="NoSpacing"/>
        <w:jc w:val="both"/>
      </w:pPr>
      <w:r>
        <w:t>Not applicable.</w:t>
      </w:r>
    </w:p>
    <w:bookmarkEnd w:id="3"/>
    <w:p w:rsidR="00C002F5" w:rsidRDefault="00C002F5" w:rsidP="006D6ED7">
      <w:pPr>
        <w:pStyle w:val="NoSpacing"/>
        <w:jc w:val="both"/>
        <w:rPr>
          <w:rStyle w:val="Heading1Char"/>
          <w:rFonts w:ascii="Calibri" w:hAnsi="Calibri"/>
          <w:sz w:val="22"/>
          <w:szCs w:val="22"/>
        </w:rPr>
      </w:pPr>
    </w:p>
    <w:p w:rsidR="006E6C9C" w:rsidRDefault="006E6C9C">
      <w:pPr>
        <w:spacing w:after="0" w:line="240" w:lineRule="auto"/>
        <w:rPr>
          <w:rStyle w:val="Heading1Char"/>
          <w:rFonts w:ascii="Calibri" w:hAnsi="Calibri"/>
          <w:sz w:val="22"/>
          <w:szCs w:val="22"/>
        </w:rPr>
      </w:pPr>
      <w:r>
        <w:rPr>
          <w:rStyle w:val="Heading1Char"/>
          <w:rFonts w:ascii="Calibri" w:hAnsi="Calibri"/>
          <w:sz w:val="22"/>
          <w:szCs w:val="22"/>
        </w:rPr>
        <w:br w:type="page"/>
      </w:r>
    </w:p>
    <w:p w:rsidR="006E6C9C" w:rsidRPr="006E6C9C" w:rsidRDefault="006E6C9C" w:rsidP="006E6C9C">
      <w:pPr>
        <w:spacing w:after="0" w:line="240" w:lineRule="auto"/>
        <w:jc w:val="center"/>
        <w:rPr>
          <w:rFonts w:ascii="Cambria" w:eastAsia="SimSun" w:hAnsi="Cambria"/>
          <w:b/>
          <w:color w:val="1F497D"/>
          <w:sz w:val="28"/>
          <w:szCs w:val="28"/>
          <w:u w:val="single"/>
          <w:lang w:eastAsia="ja-JP"/>
        </w:rPr>
      </w:pPr>
      <w:r w:rsidRPr="006E6C9C">
        <w:rPr>
          <w:rFonts w:ascii="Cambria" w:eastAsia="SimSun" w:hAnsi="Cambria"/>
          <w:b/>
          <w:color w:val="1F497D"/>
          <w:sz w:val="28"/>
          <w:szCs w:val="28"/>
          <w:u w:val="single"/>
          <w:lang w:eastAsia="ja-JP"/>
        </w:rPr>
        <w:lastRenderedPageBreak/>
        <w:t>Technical information sheet for the proposed SDG indicator</w:t>
      </w:r>
    </w:p>
    <w:p w:rsidR="006E6C9C" w:rsidRPr="006E6C9C" w:rsidRDefault="006E6C9C" w:rsidP="006E6C9C">
      <w:pPr>
        <w:spacing w:after="0" w:line="240" w:lineRule="auto"/>
        <w:jc w:val="center"/>
        <w:rPr>
          <w:rFonts w:ascii="Cambria" w:eastAsia="SimSun" w:hAnsi="Cambria"/>
          <w:b/>
          <w:color w:val="1F497D"/>
          <w:sz w:val="28"/>
          <w:szCs w:val="28"/>
          <w:lang w:eastAsia="ja-JP"/>
        </w:rPr>
      </w:pPr>
    </w:p>
    <w:p w:rsidR="006E6C9C" w:rsidRPr="006E6C9C" w:rsidRDefault="006E6C9C" w:rsidP="006E6C9C">
      <w:pPr>
        <w:spacing w:after="0" w:line="240" w:lineRule="auto"/>
        <w:jc w:val="center"/>
        <w:rPr>
          <w:rFonts w:ascii="Cambria" w:eastAsia="SimSun" w:hAnsi="Cambria"/>
          <w:b/>
          <w:i/>
          <w:iCs/>
          <w:color w:val="1F497D"/>
          <w:sz w:val="28"/>
          <w:szCs w:val="28"/>
          <w:lang w:val="en-US" w:eastAsia="zh-CN"/>
        </w:rPr>
      </w:pPr>
      <w:r w:rsidRPr="006E6C9C">
        <w:rPr>
          <w:rFonts w:ascii="Cambria" w:eastAsia="SimSun" w:hAnsi="Cambria"/>
          <w:b/>
          <w:color w:val="1F497D"/>
          <w:sz w:val="28"/>
          <w:szCs w:val="28"/>
          <w:lang w:eastAsia="ja-JP"/>
        </w:rPr>
        <w:t>“</w:t>
      </w:r>
      <w:r w:rsidRPr="006E6C9C">
        <w:rPr>
          <w:i/>
          <w:iCs/>
          <w:color w:val="1F497D"/>
          <w:lang w:val="en-US"/>
        </w:rPr>
        <w:t>Proportion of countries that regularly collect essential data on the population”</w:t>
      </w:r>
    </w:p>
    <w:p w:rsidR="006E6C9C" w:rsidRPr="006E6C9C" w:rsidRDefault="006E6C9C" w:rsidP="006E6C9C">
      <w:pPr>
        <w:spacing w:after="0" w:line="240" w:lineRule="auto"/>
        <w:jc w:val="both"/>
        <w:rPr>
          <w:rFonts w:eastAsia="Times New Roman"/>
          <w:b/>
          <w:bCs/>
          <w:lang w:eastAsia="en-GB"/>
        </w:rPr>
      </w:pPr>
    </w:p>
    <w:p w:rsidR="006E6C9C" w:rsidRPr="006E6C9C" w:rsidRDefault="006E6C9C" w:rsidP="006E6C9C">
      <w:pPr>
        <w:spacing w:after="0" w:line="240" w:lineRule="auto"/>
        <w:jc w:val="both"/>
        <w:rPr>
          <w:rFonts w:eastAsia="Times New Roman"/>
          <w:b/>
          <w:bCs/>
          <w:lang w:eastAsia="en-GB"/>
        </w:rPr>
      </w:pPr>
    </w:p>
    <w:p w:rsidR="006E6C9C" w:rsidRPr="006E6C9C" w:rsidRDefault="006E6C9C" w:rsidP="006E6C9C">
      <w:pPr>
        <w:spacing w:after="0" w:line="240" w:lineRule="auto"/>
        <w:jc w:val="both"/>
        <w:rPr>
          <w:rFonts w:ascii="Cambria" w:eastAsia="SimSun" w:hAnsi="Cambria"/>
          <w:b/>
          <w:bCs/>
          <w:color w:val="365F91"/>
          <w:sz w:val="28"/>
          <w:szCs w:val="28"/>
          <w:u w:val="single"/>
          <w:lang w:eastAsia="ja-JP"/>
        </w:rPr>
      </w:pPr>
      <w:r w:rsidRPr="006E6C9C">
        <w:rPr>
          <w:rFonts w:ascii="Cambria" w:eastAsia="SimSun" w:hAnsi="Cambria"/>
          <w:b/>
          <w:bCs/>
          <w:color w:val="365F91"/>
          <w:sz w:val="28"/>
          <w:szCs w:val="28"/>
          <w:u w:val="single"/>
          <w:lang w:eastAsia="ja-JP"/>
        </w:rPr>
        <w:t xml:space="preserve">Goal and Target Addressed </w:t>
      </w:r>
    </w:p>
    <w:p w:rsidR="006E6C9C" w:rsidRPr="006E6C9C" w:rsidRDefault="006E6C9C" w:rsidP="006E6C9C">
      <w:pPr>
        <w:spacing w:after="0" w:line="240" w:lineRule="auto"/>
        <w:jc w:val="both"/>
        <w:rPr>
          <w:rFonts w:eastAsia="Times New Roman"/>
          <w:bCs/>
          <w:lang w:val="en-US" w:eastAsia="en-GB"/>
        </w:rPr>
      </w:pPr>
    </w:p>
    <w:p w:rsidR="006E6C9C" w:rsidRPr="006E6C9C" w:rsidRDefault="006E6C9C" w:rsidP="006E6C9C">
      <w:pPr>
        <w:spacing w:after="0" w:line="240" w:lineRule="auto"/>
        <w:jc w:val="both"/>
        <w:rPr>
          <w:rFonts w:eastAsia="Times New Roman"/>
          <w:lang w:eastAsia="en-GB"/>
        </w:rPr>
      </w:pPr>
      <w:r w:rsidRPr="006E6C9C">
        <w:rPr>
          <w:rFonts w:eastAsia="Times New Roman"/>
          <w:bCs/>
          <w:lang w:val="en-US" w:eastAsia="en-GB"/>
        </w:rPr>
        <w:t>Goal 17: Strengthen the means of implementation and revitalize the global partnership for sustainable development</w:t>
      </w:r>
    </w:p>
    <w:p w:rsidR="006E6C9C" w:rsidRPr="006E6C9C" w:rsidRDefault="006E6C9C" w:rsidP="006E6C9C">
      <w:pPr>
        <w:spacing w:after="0" w:line="240" w:lineRule="auto"/>
        <w:jc w:val="both"/>
      </w:pPr>
    </w:p>
    <w:p w:rsidR="006E6C9C" w:rsidRPr="006E6C9C" w:rsidRDefault="006E6C9C" w:rsidP="006E6C9C">
      <w:pPr>
        <w:spacing w:after="0" w:line="240" w:lineRule="auto"/>
        <w:jc w:val="both"/>
        <w:rPr>
          <w:i/>
          <w:iCs/>
        </w:rPr>
      </w:pPr>
      <w:r w:rsidRPr="006E6C9C">
        <w:t>Target 17.18: By 2020, enhance capacity-building support to developing countries, including for least developed countries and small island developing States, to increase significantly the availability of high-quality, timely and reliable data disaggregated by income, gender, age, race, ethnicity, migratory status, disability, geographic location and other characteristics relevant in national contexts</w:t>
      </w:r>
    </w:p>
    <w:p w:rsidR="006E6C9C" w:rsidRPr="006E6C9C" w:rsidRDefault="006E6C9C" w:rsidP="006E6C9C">
      <w:pPr>
        <w:spacing w:after="0" w:line="240" w:lineRule="auto"/>
        <w:jc w:val="both"/>
        <w:rPr>
          <w:rFonts w:ascii="Cambria" w:eastAsia="SimSun" w:hAnsi="Cambria"/>
          <w:b/>
          <w:bCs/>
          <w:color w:val="365F91"/>
          <w:sz w:val="28"/>
          <w:szCs w:val="28"/>
          <w:lang w:eastAsia="ja-JP"/>
        </w:rPr>
      </w:pPr>
    </w:p>
    <w:p w:rsidR="006E6C9C" w:rsidRPr="006E6C9C" w:rsidRDefault="006E6C9C" w:rsidP="006E6C9C">
      <w:pPr>
        <w:spacing w:after="0" w:line="240" w:lineRule="auto"/>
        <w:jc w:val="both"/>
        <w:rPr>
          <w:rFonts w:ascii="Cambria" w:eastAsia="SimSun" w:hAnsi="Cambria"/>
          <w:b/>
          <w:bCs/>
          <w:color w:val="365F91"/>
          <w:sz w:val="28"/>
          <w:szCs w:val="28"/>
          <w:u w:val="single"/>
          <w:lang w:eastAsia="en-GB"/>
        </w:rPr>
      </w:pPr>
      <w:r w:rsidRPr="006E6C9C">
        <w:rPr>
          <w:rFonts w:ascii="Cambria" w:eastAsia="SimSun" w:hAnsi="Cambria"/>
          <w:b/>
          <w:bCs/>
          <w:color w:val="365F91"/>
          <w:sz w:val="28"/>
          <w:szCs w:val="28"/>
          <w:u w:val="single"/>
          <w:lang w:eastAsia="ja-JP"/>
        </w:rPr>
        <w:t xml:space="preserve">Definition and Method of Computation </w:t>
      </w:r>
    </w:p>
    <w:p w:rsidR="006E6C9C" w:rsidRPr="006E6C9C" w:rsidRDefault="006E6C9C" w:rsidP="006E6C9C">
      <w:pPr>
        <w:spacing w:after="0" w:line="240" w:lineRule="auto"/>
        <w:jc w:val="both"/>
      </w:pPr>
    </w:p>
    <w:p w:rsidR="006E6C9C" w:rsidRPr="006E6C9C" w:rsidRDefault="006E6C9C" w:rsidP="006E6C9C">
      <w:pPr>
        <w:spacing w:after="0" w:line="240" w:lineRule="auto"/>
        <w:jc w:val="both"/>
      </w:pPr>
      <w:r w:rsidRPr="006E6C9C">
        <w:t>Essential data on the population is defined as data generated by:</w:t>
      </w:r>
    </w:p>
    <w:p w:rsidR="006E6C9C" w:rsidRPr="006E6C9C" w:rsidRDefault="006E6C9C" w:rsidP="006E6C9C">
      <w:pPr>
        <w:numPr>
          <w:ilvl w:val="0"/>
          <w:numId w:val="5"/>
        </w:numPr>
        <w:spacing w:after="0" w:line="240" w:lineRule="auto"/>
        <w:jc w:val="both"/>
      </w:pPr>
      <w:r w:rsidRPr="006E6C9C">
        <w:t>Census – regularly defined as every five to 10 years and in line with internationally agreed guidelines</w:t>
      </w:r>
    </w:p>
    <w:p w:rsidR="006E6C9C" w:rsidRPr="006E6C9C" w:rsidRDefault="006E6C9C" w:rsidP="006E6C9C">
      <w:pPr>
        <w:numPr>
          <w:ilvl w:val="0"/>
          <w:numId w:val="5"/>
        </w:numPr>
        <w:spacing w:after="0" w:line="240" w:lineRule="auto"/>
        <w:jc w:val="both"/>
      </w:pPr>
      <w:r w:rsidRPr="006E6C9C">
        <w:t>Civil registration and vital statistics – regularly defined as births, deaths and civil status registered and reported continually as relevant for national context</w:t>
      </w:r>
    </w:p>
    <w:p w:rsidR="006E6C9C" w:rsidRPr="006E6C9C" w:rsidRDefault="006E6C9C" w:rsidP="006E6C9C">
      <w:pPr>
        <w:numPr>
          <w:ilvl w:val="0"/>
          <w:numId w:val="5"/>
        </w:numPr>
        <w:spacing w:after="0" w:line="240" w:lineRule="auto"/>
        <w:jc w:val="both"/>
      </w:pPr>
      <w:r w:rsidRPr="006E6C9C">
        <w:t>Surveys – regularly defined as every three to five years: demographic and health surveys (DHS or MICS), labour force surveys, living standards surveys, household income and expenditure surveys</w:t>
      </w:r>
      <w:r w:rsidRPr="006E6C9C">
        <w:tab/>
      </w:r>
    </w:p>
    <w:p w:rsidR="006E6C9C" w:rsidRPr="006E6C9C" w:rsidRDefault="006E6C9C" w:rsidP="006E6C9C">
      <w:pPr>
        <w:spacing w:after="0" w:line="240" w:lineRule="auto"/>
        <w:jc w:val="both"/>
      </w:pPr>
    </w:p>
    <w:p w:rsidR="006E6C9C" w:rsidRPr="006E6C9C" w:rsidRDefault="006E6C9C" w:rsidP="006E6C9C">
      <w:pPr>
        <w:spacing w:after="0" w:line="240" w:lineRule="auto"/>
        <w:jc w:val="both"/>
        <w:rPr>
          <w:rFonts w:ascii="Cambria" w:eastAsia="SimSun" w:hAnsi="Cambria"/>
          <w:b/>
          <w:bCs/>
          <w:color w:val="365F91"/>
          <w:sz w:val="28"/>
          <w:szCs w:val="28"/>
          <w:u w:val="single"/>
          <w:lang w:eastAsia="ja-JP"/>
        </w:rPr>
      </w:pPr>
      <w:r w:rsidRPr="006E6C9C">
        <w:rPr>
          <w:rFonts w:ascii="Cambria" w:eastAsia="SimSun" w:hAnsi="Cambria"/>
          <w:b/>
          <w:color w:val="365F91"/>
          <w:sz w:val="28"/>
          <w:szCs w:val="28"/>
          <w:u w:val="single"/>
          <w:lang w:eastAsia="ja-JP"/>
        </w:rPr>
        <w:t>Sources and Data Collection</w:t>
      </w:r>
    </w:p>
    <w:p w:rsidR="006E6C9C" w:rsidRPr="006E6C9C" w:rsidRDefault="006E6C9C" w:rsidP="006E6C9C">
      <w:pPr>
        <w:spacing w:after="0" w:line="240" w:lineRule="auto"/>
        <w:jc w:val="both"/>
      </w:pPr>
    </w:p>
    <w:p w:rsidR="006E6C9C" w:rsidRPr="006E6C9C" w:rsidRDefault="006E6C9C" w:rsidP="006E6C9C">
      <w:pPr>
        <w:spacing w:after="0" w:line="240" w:lineRule="auto"/>
        <w:jc w:val="both"/>
        <w:rPr>
          <w:rFonts w:eastAsia="Times New Roman"/>
          <w:color w:val="000000"/>
          <w:lang w:val="en-US"/>
        </w:rPr>
      </w:pPr>
      <w:r w:rsidRPr="006E6C9C">
        <w:rPr>
          <w:rFonts w:eastAsia="Times New Roman"/>
          <w:color w:val="000000"/>
          <w:lang w:val="en-US"/>
        </w:rPr>
        <w:t>Global statistical monitoring systems associated with the different data types</w:t>
      </w:r>
    </w:p>
    <w:p w:rsidR="006E6C9C" w:rsidRPr="006E6C9C" w:rsidRDefault="006E6C9C" w:rsidP="006E6C9C">
      <w:pPr>
        <w:spacing w:after="0" w:line="240" w:lineRule="auto"/>
        <w:jc w:val="both"/>
        <w:rPr>
          <w:rFonts w:eastAsia="Times New Roman"/>
          <w:lang w:eastAsia="en-GB"/>
        </w:rPr>
      </w:pPr>
    </w:p>
    <w:p w:rsidR="006E6C9C" w:rsidRPr="006E6C9C" w:rsidRDefault="006E6C9C" w:rsidP="006E6C9C">
      <w:pPr>
        <w:spacing w:after="0" w:line="240" w:lineRule="auto"/>
        <w:jc w:val="both"/>
        <w:rPr>
          <w:rFonts w:ascii="Cambria" w:eastAsia="SimSun" w:hAnsi="Cambria"/>
          <w:b/>
          <w:bCs/>
          <w:color w:val="365F91"/>
          <w:sz w:val="28"/>
          <w:szCs w:val="28"/>
          <w:u w:val="single"/>
          <w:lang w:eastAsia="ja-JP"/>
        </w:rPr>
      </w:pPr>
      <w:r w:rsidRPr="006E6C9C">
        <w:rPr>
          <w:rFonts w:ascii="Cambria" w:eastAsia="SimSun" w:hAnsi="Cambria"/>
          <w:b/>
          <w:bCs/>
          <w:color w:val="365F91"/>
          <w:sz w:val="28"/>
          <w:szCs w:val="28"/>
          <w:u w:val="single"/>
          <w:lang w:eastAsia="ja-JP"/>
        </w:rPr>
        <w:t xml:space="preserve">Disaggregation </w:t>
      </w:r>
    </w:p>
    <w:p w:rsidR="006E6C9C" w:rsidRPr="006E6C9C" w:rsidRDefault="006E6C9C" w:rsidP="006E6C9C">
      <w:pPr>
        <w:spacing w:after="0" w:line="240" w:lineRule="auto"/>
        <w:jc w:val="both"/>
      </w:pPr>
    </w:p>
    <w:p w:rsidR="006E6C9C" w:rsidRPr="006E6C9C" w:rsidRDefault="006E6C9C" w:rsidP="006E6C9C">
      <w:pPr>
        <w:spacing w:after="0" w:line="240" w:lineRule="auto"/>
        <w:jc w:val="both"/>
      </w:pPr>
      <w:r w:rsidRPr="006E6C9C">
        <w:t>Not applicable.</w:t>
      </w:r>
    </w:p>
    <w:p w:rsidR="006E6C9C" w:rsidRPr="006E6C9C" w:rsidRDefault="006E6C9C" w:rsidP="006E6C9C">
      <w:pPr>
        <w:spacing w:after="0" w:line="240" w:lineRule="auto"/>
        <w:jc w:val="both"/>
        <w:rPr>
          <w:rFonts w:ascii="Cambria" w:eastAsia="SimSun" w:hAnsi="Cambria"/>
          <w:b/>
          <w:bCs/>
          <w:color w:val="365F91"/>
          <w:sz w:val="28"/>
          <w:szCs w:val="28"/>
          <w:lang w:eastAsia="ja-JP"/>
        </w:rPr>
      </w:pPr>
    </w:p>
    <w:p w:rsidR="006E6C9C" w:rsidRPr="006E6C9C" w:rsidRDefault="006E6C9C" w:rsidP="006E6C9C">
      <w:pPr>
        <w:spacing w:after="160" w:line="259" w:lineRule="auto"/>
        <w:rPr>
          <w:lang w:val="en-US"/>
        </w:rPr>
      </w:pPr>
    </w:p>
    <w:p w:rsidR="006E6C9C" w:rsidRPr="00B30B1F" w:rsidRDefault="006E6C9C" w:rsidP="006D6ED7">
      <w:pPr>
        <w:pStyle w:val="NoSpacing"/>
        <w:jc w:val="both"/>
        <w:rPr>
          <w:rStyle w:val="Heading1Char"/>
          <w:rFonts w:ascii="Calibri" w:hAnsi="Calibri"/>
          <w:sz w:val="22"/>
          <w:szCs w:val="22"/>
        </w:rPr>
      </w:pPr>
      <w:bookmarkStart w:id="4" w:name="_GoBack"/>
      <w:bookmarkEnd w:id="4"/>
    </w:p>
    <w:sectPr w:rsidR="006E6C9C" w:rsidRPr="00B30B1F" w:rsidSect="006D6ED7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6B2" w:rsidRDefault="001B46B2" w:rsidP="009A52B1">
      <w:pPr>
        <w:spacing w:after="0" w:line="240" w:lineRule="auto"/>
      </w:pPr>
      <w:r>
        <w:separator/>
      </w:r>
    </w:p>
  </w:endnote>
  <w:endnote w:type="continuationSeparator" w:id="0">
    <w:p w:rsidR="001B46B2" w:rsidRDefault="001B46B2" w:rsidP="009A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HGPMinchoE">
    <w:altName w:val="MS PMincho"/>
    <w:panose1 w:val="00000000000000000000"/>
    <w:charset w:val="80"/>
    <w:family w:val="roman"/>
    <w:notTrueType/>
    <w:pitch w:val="default"/>
  </w:font>
  <w:font w:name="Majalla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6B2" w:rsidRDefault="001B46B2" w:rsidP="009A52B1">
      <w:pPr>
        <w:spacing w:after="0" w:line="240" w:lineRule="auto"/>
      </w:pPr>
      <w:r>
        <w:separator/>
      </w:r>
    </w:p>
  </w:footnote>
  <w:footnote w:type="continuationSeparator" w:id="0">
    <w:p w:rsidR="001B46B2" w:rsidRDefault="001B46B2" w:rsidP="009A5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A6B40"/>
    <w:multiLevelType w:val="hybridMultilevel"/>
    <w:tmpl w:val="F34AE81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3939"/>
    <w:multiLevelType w:val="hybridMultilevel"/>
    <w:tmpl w:val="FA425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B96DD7"/>
    <w:multiLevelType w:val="multilevel"/>
    <w:tmpl w:val="354AA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FD31C8"/>
    <w:multiLevelType w:val="multilevel"/>
    <w:tmpl w:val="AA9A7B36"/>
    <w:lvl w:ilvl="0">
      <w:start w:val="1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1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17767A0"/>
    <w:multiLevelType w:val="multilevel"/>
    <w:tmpl w:val="5386AD4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E55"/>
    <w:rsid w:val="00025792"/>
    <w:rsid w:val="000851FD"/>
    <w:rsid w:val="000A3D77"/>
    <w:rsid w:val="000E51DE"/>
    <w:rsid w:val="000F59A8"/>
    <w:rsid w:val="000F6796"/>
    <w:rsid w:val="00162D25"/>
    <w:rsid w:val="001A499F"/>
    <w:rsid w:val="001B46B2"/>
    <w:rsid w:val="001C68C8"/>
    <w:rsid w:val="001C73EC"/>
    <w:rsid w:val="001D730C"/>
    <w:rsid w:val="001E0064"/>
    <w:rsid w:val="001F1945"/>
    <w:rsid w:val="001F22B5"/>
    <w:rsid w:val="0022376A"/>
    <w:rsid w:val="0022460C"/>
    <w:rsid w:val="00252D52"/>
    <w:rsid w:val="002C1147"/>
    <w:rsid w:val="002D582F"/>
    <w:rsid w:val="00311C19"/>
    <w:rsid w:val="003157CC"/>
    <w:rsid w:val="003165ED"/>
    <w:rsid w:val="00363B7A"/>
    <w:rsid w:val="00364CAD"/>
    <w:rsid w:val="00372495"/>
    <w:rsid w:val="003B5190"/>
    <w:rsid w:val="003C3A43"/>
    <w:rsid w:val="0040194D"/>
    <w:rsid w:val="00475C52"/>
    <w:rsid w:val="00483D59"/>
    <w:rsid w:val="004C7F48"/>
    <w:rsid w:val="004E34F6"/>
    <w:rsid w:val="00500BB7"/>
    <w:rsid w:val="00537F5C"/>
    <w:rsid w:val="00551281"/>
    <w:rsid w:val="005B01C3"/>
    <w:rsid w:val="005F35CD"/>
    <w:rsid w:val="006002DA"/>
    <w:rsid w:val="00640EB9"/>
    <w:rsid w:val="00645EE9"/>
    <w:rsid w:val="00673B9A"/>
    <w:rsid w:val="006B5BF3"/>
    <w:rsid w:val="006D6ED7"/>
    <w:rsid w:val="006E6C9C"/>
    <w:rsid w:val="007300C0"/>
    <w:rsid w:val="00776D2B"/>
    <w:rsid w:val="007B325A"/>
    <w:rsid w:val="007D58CF"/>
    <w:rsid w:val="007E1D34"/>
    <w:rsid w:val="00825897"/>
    <w:rsid w:val="00827210"/>
    <w:rsid w:val="00853DB8"/>
    <w:rsid w:val="008A7215"/>
    <w:rsid w:val="008D5ACD"/>
    <w:rsid w:val="00901B4F"/>
    <w:rsid w:val="00924D53"/>
    <w:rsid w:val="00925430"/>
    <w:rsid w:val="009354F9"/>
    <w:rsid w:val="00935EBC"/>
    <w:rsid w:val="0096414A"/>
    <w:rsid w:val="00972EB9"/>
    <w:rsid w:val="009A3B1E"/>
    <w:rsid w:val="009A52B1"/>
    <w:rsid w:val="009C644C"/>
    <w:rsid w:val="009D1A32"/>
    <w:rsid w:val="009D4964"/>
    <w:rsid w:val="009E062E"/>
    <w:rsid w:val="00A1698F"/>
    <w:rsid w:val="00A16A5D"/>
    <w:rsid w:val="00A23344"/>
    <w:rsid w:val="00A36EB9"/>
    <w:rsid w:val="00A46A5B"/>
    <w:rsid w:val="00A7727C"/>
    <w:rsid w:val="00A83594"/>
    <w:rsid w:val="00AD70CF"/>
    <w:rsid w:val="00AD7E55"/>
    <w:rsid w:val="00AF0D69"/>
    <w:rsid w:val="00B27BF9"/>
    <w:rsid w:val="00B30B1F"/>
    <w:rsid w:val="00B31322"/>
    <w:rsid w:val="00B72AD5"/>
    <w:rsid w:val="00BA484E"/>
    <w:rsid w:val="00BA7226"/>
    <w:rsid w:val="00BD73B2"/>
    <w:rsid w:val="00BE5B0E"/>
    <w:rsid w:val="00BF759D"/>
    <w:rsid w:val="00C002F5"/>
    <w:rsid w:val="00C119AE"/>
    <w:rsid w:val="00C401FD"/>
    <w:rsid w:val="00C44BED"/>
    <w:rsid w:val="00C93D96"/>
    <w:rsid w:val="00CA54A6"/>
    <w:rsid w:val="00CC2637"/>
    <w:rsid w:val="00D02887"/>
    <w:rsid w:val="00D179E5"/>
    <w:rsid w:val="00DD1F50"/>
    <w:rsid w:val="00E56879"/>
    <w:rsid w:val="00EA7F35"/>
    <w:rsid w:val="00EB232D"/>
    <w:rsid w:val="00FC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1B4F"/>
    <w:pPr>
      <w:keepNext/>
      <w:keepLines/>
      <w:spacing w:before="480" w:after="0" w:line="240" w:lineRule="auto"/>
      <w:outlineLvl w:val="0"/>
    </w:pPr>
    <w:rPr>
      <w:rFonts w:ascii="Cambria" w:eastAsia="SimSun" w:hAnsi="Cambria"/>
      <w:b/>
      <w:bCs/>
      <w:color w:val="365F91"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901B4F"/>
    <w:pPr>
      <w:autoSpaceDE w:val="0"/>
      <w:autoSpaceDN w:val="0"/>
      <w:adjustRightInd w:val="0"/>
      <w:spacing w:after="0" w:line="240" w:lineRule="auto"/>
      <w:outlineLvl w:val="1"/>
    </w:pPr>
    <w:rPr>
      <w:rFonts w:eastAsia="SimSun"/>
      <w:b/>
      <w:bCs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7E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Strong">
    <w:name w:val="Strong"/>
    <w:uiPriority w:val="22"/>
    <w:qFormat/>
    <w:rsid w:val="00AD7E55"/>
    <w:rPr>
      <w:b/>
      <w:bCs/>
    </w:rPr>
  </w:style>
  <w:style w:type="character" w:styleId="Hyperlink">
    <w:name w:val="Hyperlink"/>
    <w:unhideWhenUsed/>
    <w:rsid w:val="00AD7E55"/>
    <w:rPr>
      <w:color w:val="0000FF"/>
      <w:u w:val="single"/>
    </w:rPr>
  </w:style>
  <w:style w:type="paragraph" w:customStyle="1" w:styleId="Default">
    <w:name w:val="Default"/>
    <w:rsid w:val="009C64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uiPriority w:val="9"/>
    <w:rsid w:val="00901B4F"/>
    <w:rPr>
      <w:rFonts w:ascii="Cambria" w:eastAsia="SimSun" w:hAnsi="Cambria"/>
      <w:b/>
      <w:bCs/>
      <w:color w:val="365F91"/>
      <w:sz w:val="28"/>
      <w:szCs w:val="28"/>
      <w:lang w:eastAsia="ja-JP"/>
    </w:rPr>
  </w:style>
  <w:style w:type="character" w:customStyle="1" w:styleId="Heading2Char">
    <w:name w:val="Heading 2 Char"/>
    <w:link w:val="Heading2"/>
    <w:rsid w:val="00901B4F"/>
    <w:rPr>
      <w:rFonts w:eastAsia="SimSun"/>
      <w:b/>
      <w:bCs/>
      <w:sz w:val="32"/>
      <w:szCs w:val="32"/>
      <w:lang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9A52B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9A52B1"/>
    <w:rPr>
      <w:lang w:eastAsia="en-US"/>
    </w:rPr>
  </w:style>
  <w:style w:type="character" w:styleId="FootnoteReference">
    <w:name w:val="footnote reference"/>
    <w:uiPriority w:val="99"/>
    <w:semiHidden/>
    <w:unhideWhenUsed/>
    <w:rsid w:val="009A52B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63B7A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363B7A"/>
    <w:rPr>
      <w:lang w:eastAsia="en-US"/>
    </w:rPr>
  </w:style>
  <w:style w:type="character" w:styleId="EndnoteReference">
    <w:name w:val="endnote reference"/>
    <w:uiPriority w:val="99"/>
    <w:semiHidden/>
    <w:unhideWhenUsed/>
    <w:rsid w:val="00363B7A"/>
    <w:rPr>
      <w:vertAlign w:val="superscript"/>
    </w:rPr>
  </w:style>
  <w:style w:type="paragraph" w:styleId="ListParagraph">
    <w:name w:val="List Paragraph"/>
    <w:basedOn w:val="Normal"/>
    <w:uiPriority w:val="34"/>
    <w:qFormat/>
    <w:rsid w:val="0022460C"/>
    <w:pPr>
      <w:spacing w:line="288" w:lineRule="auto"/>
      <w:ind w:left="720"/>
      <w:contextualSpacing/>
    </w:pPr>
    <w:rPr>
      <w:rFonts w:ascii="Constantia" w:eastAsia="HGPMinchoE" w:hAnsi="Constantia" w:cs="Majalla UI"/>
      <w:i/>
      <w:iCs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6D6ED7"/>
    <w:rPr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1B4F"/>
    <w:pPr>
      <w:keepNext/>
      <w:keepLines/>
      <w:spacing w:before="480" w:after="0" w:line="240" w:lineRule="auto"/>
      <w:outlineLvl w:val="0"/>
    </w:pPr>
    <w:rPr>
      <w:rFonts w:ascii="Cambria" w:eastAsia="SimSun" w:hAnsi="Cambria"/>
      <w:b/>
      <w:bCs/>
      <w:color w:val="365F91"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901B4F"/>
    <w:pPr>
      <w:autoSpaceDE w:val="0"/>
      <w:autoSpaceDN w:val="0"/>
      <w:adjustRightInd w:val="0"/>
      <w:spacing w:after="0" w:line="240" w:lineRule="auto"/>
      <w:outlineLvl w:val="1"/>
    </w:pPr>
    <w:rPr>
      <w:rFonts w:eastAsia="SimSun"/>
      <w:b/>
      <w:bCs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7E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Strong">
    <w:name w:val="Strong"/>
    <w:uiPriority w:val="22"/>
    <w:qFormat/>
    <w:rsid w:val="00AD7E55"/>
    <w:rPr>
      <w:b/>
      <w:bCs/>
    </w:rPr>
  </w:style>
  <w:style w:type="character" w:styleId="Hyperlink">
    <w:name w:val="Hyperlink"/>
    <w:unhideWhenUsed/>
    <w:rsid w:val="00AD7E55"/>
    <w:rPr>
      <w:color w:val="0000FF"/>
      <w:u w:val="single"/>
    </w:rPr>
  </w:style>
  <w:style w:type="paragraph" w:customStyle="1" w:styleId="Default">
    <w:name w:val="Default"/>
    <w:rsid w:val="009C64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uiPriority w:val="9"/>
    <w:rsid w:val="00901B4F"/>
    <w:rPr>
      <w:rFonts w:ascii="Cambria" w:eastAsia="SimSun" w:hAnsi="Cambria"/>
      <w:b/>
      <w:bCs/>
      <w:color w:val="365F91"/>
      <w:sz w:val="28"/>
      <w:szCs w:val="28"/>
      <w:lang w:eastAsia="ja-JP"/>
    </w:rPr>
  </w:style>
  <w:style w:type="character" w:customStyle="1" w:styleId="Heading2Char">
    <w:name w:val="Heading 2 Char"/>
    <w:link w:val="Heading2"/>
    <w:rsid w:val="00901B4F"/>
    <w:rPr>
      <w:rFonts w:eastAsia="SimSun"/>
      <w:b/>
      <w:bCs/>
      <w:sz w:val="32"/>
      <w:szCs w:val="32"/>
      <w:lang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9A52B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9A52B1"/>
    <w:rPr>
      <w:lang w:eastAsia="en-US"/>
    </w:rPr>
  </w:style>
  <w:style w:type="character" w:styleId="FootnoteReference">
    <w:name w:val="footnote reference"/>
    <w:uiPriority w:val="99"/>
    <w:semiHidden/>
    <w:unhideWhenUsed/>
    <w:rsid w:val="009A52B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63B7A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363B7A"/>
    <w:rPr>
      <w:lang w:eastAsia="en-US"/>
    </w:rPr>
  </w:style>
  <w:style w:type="character" w:styleId="EndnoteReference">
    <w:name w:val="endnote reference"/>
    <w:uiPriority w:val="99"/>
    <w:semiHidden/>
    <w:unhideWhenUsed/>
    <w:rsid w:val="00363B7A"/>
    <w:rPr>
      <w:vertAlign w:val="superscript"/>
    </w:rPr>
  </w:style>
  <w:style w:type="paragraph" w:styleId="ListParagraph">
    <w:name w:val="List Paragraph"/>
    <w:basedOn w:val="Normal"/>
    <w:uiPriority w:val="34"/>
    <w:qFormat/>
    <w:rsid w:val="0022460C"/>
    <w:pPr>
      <w:spacing w:line="288" w:lineRule="auto"/>
      <w:ind w:left="720"/>
      <w:contextualSpacing/>
    </w:pPr>
    <w:rPr>
      <w:rFonts w:ascii="Constantia" w:eastAsia="HGPMinchoE" w:hAnsi="Constantia" w:cs="Majalla UI"/>
      <w:i/>
      <w:iCs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6D6ED7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F5CDC-AE48-4C23-8881-0349AB78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3208</CharactersWithSpaces>
  <SharedDoc>false</SharedDoc>
  <HLinks>
    <vt:vector size="36" baseType="variant">
      <vt:variant>
        <vt:i4>1966085</vt:i4>
      </vt:variant>
      <vt:variant>
        <vt:i4>15</vt:i4>
      </vt:variant>
      <vt:variant>
        <vt:i4>0</vt:i4>
      </vt:variant>
      <vt:variant>
        <vt:i4>5</vt:i4>
      </vt:variant>
      <vt:variant>
        <vt:lpwstr>http://indicators.ohchr.org/</vt:lpwstr>
      </vt:variant>
      <vt:variant>
        <vt:lpwstr/>
      </vt:variant>
      <vt:variant>
        <vt:i4>8192103</vt:i4>
      </vt:variant>
      <vt:variant>
        <vt:i4>12</vt:i4>
      </vt:variant>
      <vt:variant>
        <vt:i4>0</vt:i4>
      </vt:variant>
      <vt:variant>
        <vt:i4>5</vt:i4>
      </vt:variant>
      <vt:variant>
        <vt:lpwstr>http://untreaty.un.org/ola/</vt:lpwstr>
      </vt:variant>
      <vt:variant>
        <vt:lpwstr/>
      </vt:variant>
      <vt:variant>
        <vt:i4>1310837</vt:i4>
      </vt:variant>
      <vt:variant>
        <vt:i4>9</vt:i4>
      </vt:variant>
      <vt:variant>
        <vt:i4>0</vt:i4>
      </vt:variant>
      <vt:variant>
        <vt:i4>5</vt:i4>
      </vt:variant>
      <vt:variant>
        <vt:lpwstr>http://www2.ohchr.org/english/law/docs/A.RES.63.117_en.pdf</vt:lpwstr>
      </vt:variant>
      <vt:variant>
        <vt:lpwstr/>
      </vt:variant>
      <vt:variant>
        <vt:i4>2424944</vt:i4>
      </vt:variant>
      <vt:variant>
        <vt:i4>6</vt:i4>
      </vt:variant>
      <vt:variant>
        <vt:i4>0</vt:i4>
      </vt:variant>
      <vt:variant>
        <vt:i4>5</vt:i4>
      </vt:variant>
      <vt:variant>
        <vt:lpwstr>http://www2.ohchr.org/english/law/disappearance-convention.htm</vt:lpwstr>
      </vt:variant>
      <vt:variant>
        <vt:lpwstr/>
      </vt:variant>
      <vt:variant>
        <vt:i4>4259871</vt:i4>
      </vt:variant>
      <vt:variant>
        <vt:i4>3</vt:i4>
      </vt:variant>
      <vt:variant>
        <vt:i4>0</vt:i4>
      </vt:variant>
      <vt:variant>
        <vt:i4>5</vt:i4>
      </vt:variant>
      <vt:variant>
        <vt:lpwstr>http://www2.ohchr.org/english/law/disabilities-op.htm</vt:lpwstr>
      </vt:variant>
      <vt:variant>
        <vt:lpwstr/>
      </vt:variant>
      <vt:variant>
        <vt:i4>6094879</vt:i4>
      </vt:variant>
      <vt:variant>
        <vt:i4>0</vt:i4>
      </vt:variant>
      <vt:variant>
        <vt:i4>0</vt:i4>
      </vt:variant>
      <vt:variant>
        <vt:i4>5</vt:i4>
      </vt:variant>
      <vt:variant>
        <vt:lpwstr>http://www2.ohchr.org/english/law/disabilities-convention.htm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OHCHR</dc:creator>
  <cp:lastModifiedBy>Benjamin Rae</cp:lastModifiedBy>
  <cp:revision>2</cp:revision>
  <dcterms:created xsi:type="dcterms:W3CDTF">2015-05-20T16:36:00Z</dcterms:created>
  <dcterms:modified xsi:type="dcterms:W3CDTF">2015-05-20T16:36:00Z</dcterms:modified>
</cp:coreProperties>
</file>